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4076" w14:textId="2141F050" w:rsidR="005B17D3" w:rsidRDefault="005B17D3" w:rsidP="00FE45BF">
      <w:pPr>
        <w:jc w:val="center"/>
        <w:rPr>
          <w:rFonts w:ascii="Open Sans" w:hAnsi="Open Sans" w:cs="Open Sans"/>
          <w:b/>
          <w:sz w:val="22"/>
          <w:szCs w:val="22"/>
          <w:u w:val="single"/>
          <w:lang w:val="es-ES"/>
        </w:rPr>
      </w:pPr>
      <w:bookmarkStart w:id="0" w:name="_GoBack"/>
      <w:bookmarkEnd w:id="0"/>
    </w:p>
    <w:p w14:paraId="062534A2" w14:textId="20372E93" w:rsidR="00986F10" w:rsidRDefault="003C6E77" w:rsidP="00FE45BF">
      <w:pPr>
        <w:jc w:val="center"/>
        <w:rPr>
          <w:rFonts w:ascii="Open Sans" w:hAnsi="Open Sans" w:cs="Open Sans"/>
          <w:b/>
          <w:sz w:val="22"/>
          <w:szCs w:val="22"/>
          <w:u w:val="single"/>
          <w:lang w:val="es-ES"/>
        </w:rPr>
      </w:pPr>
      <w:r>
        <w:rPr>
          <w:rFonts w:ascii="Open Sans" w:hAnsi="Open Sans" w:cs="Open Sans"/>
          <w:b/>
          <w:sz w:val="22"/>
          <w:szCs w:val="22"/>
          <w:u w:val="single"/>
          <w:lang w:val="es-ES"/>
        </w:rPr>
        <w:t xml:space="preserve">Del 3 al </w:t>
      </w:r>
      <w:r w:rsidR="00701AB1">
        <w:rPr>
          <w:rFonts w:ascii="Open Sans" w:hAnsi="Open Sans" w:cs="Open Sans"/>
          <w:b/>
          <w:sz w:val="22"/>
          <w:szCs w:val="22"/>
          <w:u w:val="single"/>
          <w:lang w:val="es-ES"/>
        </w:rPr>
        <w:t>5</w:t>
      </w:r>
      <w:r>
        <w:rPr>
          <w:rFonts w:ascii="Open Sans" w:hAnsi="Open Sans" w:cs="Open Sans"/>
          <w:b/>
          <w:sz w:val="22"/>
          <w:szCs w:val="22"/>
          <w:u w:val="single"/>
          <w:lang w:val="es-ES"/>
        </w:rPr>
        <w:t xml:space="preserve"> de octubre en la Feria de Valencia (Pabellón 1, </w:t>
      </w:r>
      <w:r w:rsidR="00DA70FF">
        <w:rPr>
          <w:rFonts w:ascii="Open Sans" w:hAnsi="Open Sans" w:cs="Open Sans"/>
          <w:b/>
          <w:sz w:val="22"/>
          <w:szCs w:val="22"/>
          <w:u w:val="single"/>
          <w:lang w:val="es-ES"/>
        </w:rPr>
        <w:t xml:space="preserve">Nivel 3 - </w:t>
      </w:r>
      <w:r>
        <w:rPr>
          <w:rFonts w:ascii="Open Sans" w:hAnsi="Open Sans" w:cs="Open Sans"/>
          <w:b/>
          <w:sz w:val="22"/>
          <w:szCs w:val="22"/>
          <w:u w:val="single"/>
          <w:lang w:val="es-ES"/>
        </w:rPr>
        <w:t>D23/24)</w:t>
      </w:r>
      <w:r w:rsidR="00FE45BF">
        <w:rPr>
          <w:rFonts w:ascii="Open Sans" w:hAnsi="Open Sans" w:cs="Open Sans"/>
          <w:b/>
          <w:sz w:val="22"/>
          <w:szCs w:val="22"/>
          <w:u w:val="single"/>
          <w:lang w:val="es-ES"/>
        </w:rPr>
        <w:t xml:space="preserve"> </w:t>
      </w:r>
    </w:p>
    <w:p w14:paraId="22DCC987" w14:textId="64E44C33" w:rsidR="00FE45BF" w:rsidRPr="00973783" w:rsidRDefault="00FE45BF" w:rsidP="00FE45BF">
      <w:pPr>
        <w:jc w:val="center"/>
        <w:rPr>
          <w:rFonts w:ascii="Open Sans" w:hAnsi="Open Sans" w:cs="Open Sans"/>
          <w:sz w:val="20"/>
          <w:szCs w:val="20"/>
          <w:lang w:val="es-ES"/>
        </w:rPr>
      </w:pPr>
    </w:p>
    <w:p w14:paraId="5C60D94E" w14:textId="24B5378B" w:rsidR="005E06AD" w:rsidRPr="001C0776" w:rsidRDefault="001C0776" w:rsidP="00986F10">
      <w:pPr>
        <w:jc w:val="center"/>
        <w:rPr>
          <w:rFonts w:ascii="Open Sans" w:hAnsi="Open Sans" w:cs="Open Sans"/>
          <w:b/>
          <w:sz w:val="32"/>
          <w:szCs w:val="32"/>
          <w:lang w:val="es-ES_tradnl"/>
        </w:rPr>
      </w:pPr>
      <w:r>
        <w:rPr>
          <w:rFonts w:ascii="Open Sans" w:hAnsi="Open Sans" w:cs="Open Sans"/>
          <w:b/>
          <w:sz w:val="32"/>
          <w:szCs w:val="32"/>
          <w:lang w:val="es-ES_tradnl"/>
        </w:rPr>
        <w:t xml:space="preserve">ICL </w:t>
      </w:r>
      <w:r w:rsidR="003C6E77">
        <w:rPr>
          <w:rFonts w:ascii="Open Sans" w:hAnsi="Open Sans" w:cs="Open Sans"/>
          <w:b/>
          <w:sz w:val="32"/>
          <w:szCs w:val="32"/>
          <w:lang w:val="es-ES_tradnl"/>
        </w:rPr>
        <w:t>presenta en Iberflora 2018 novedades importantes como</w:t>
      </w:r>
      <w:r w:rsidR="00FE45BF">
        <w:rPr>
          <w:rFonts w:ascii="Open Sans" w:hAnsi="Open Sans" w:cs="Open Sans"/>
          <w:b/>
          <w:sz w:val="32"/>
          <w:szCs w:val="32"/>
          <w:lang w:val="es-ES_tradnl"/>
        </w:rPr>
        <w:t xml:space="preserve"> Ready Germiplus</w:t>
      </w:r>
      <w:r w:rsidR="003C6E77">
        <w:rPr>
          <w:rFonts w:ascii="Open Sans" w:hAnsi="Open Sans" w:cs="Open Sans"/>
          <w:b/>
          <w:sz w:val="32"/>
          <w:szCs w:val="32"/>
          <w:lang w:val="es-ES_tradnl"/>
        </w:rPr>
        <w:t xml:space="preserve">, </w:t>
      </w:r>
      <w:r w:rsidR="003C6E77" w:rsidRPr="00DA70FF">
        <w:rPr>
          <w:rFonts w:ascii="Open Sans" w:hAnsi="Open Sans" w:cs="Open Sans"/>
          <w:b/>
          <w:sz w:val="32"/>
          <w:szCs w:val="32"/>
          <w:lang w:val="es-ES_tradnl"/>
        </w:rPr>
        <w:t>H2Gro</w:t>
      </w:r>
      <w:r w:rsidR="003C6E77">
        <w:rPr>
          <w:rFonts w:ascii="Open Sans" w:hAnsi="Open Sans" w:cs="Open Sans"/>
          <w:b/>
          <w:sz w:val="32"/>
          <w:szCs w:val="32"/>
          <w:lang w:val="es-ES_tradnl"/>
        </w:rPr>
        <w:t xml:space="preserve"> y Osmocote CalMag+P</w:t>
      </w:r>
    </w:p>
    <w:p w14:paraId="0A7D76DB" w14:textId="0F842308" w:rsidR="007D540F" w:rsidRDefault="007D540F" w:rsidP="00986F10">
      <w:pPr>
        <w:jc w:val="both"/>
        <w:rPr>
          <w:rFonts w:ascii="Open Sans" w:hAnsi="Open Sans" w:cs="Open Sans"/>
          <w:b/>
          <w:sz w:val="20"/>
          <w:szCs w:val="20"/>
          <w:lang w:val="es-ES_tradnl"/>
        </w:rPr>
      </w:pPr>
    </w:p>
    <w:p w14:paraId="7AB3A429" w14:textId="35A4ADFE" w:rsidR="00292EC3" w:rsidRPr="005E06AD" w:rsidRDefault="00292EC3" w:rsidP="00986F10">
      <w:pPr>
        <w:jc w:val="both"/>
        <w:rPr>
          <w:rFonts w:ascii="Open Sans" w:hAnsi="Open Sans" w:cs="Open Sans"/>
          <w:b/>
          <w:sz w:val="20"/>
          <w:szCs w:val="20"/>
          <w:lang w:val="es-ES_tradnl"/>
        </w:rPr>
      </w:pPr>
    </w:p>
    <w:p w14:paraId="14934AE0" w14:textId="796EF0DF" w:rsidR="002843C6" w:rsidRDefault="005E0B0A" w:rsidP="002843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/>
        <w:jc w:val="both"/>
        <w:rPr>
          <w:rFonts w:ascii="Helvetica" w:hAnsi="Helvetica" w:cs="Open Sans"/>
          <w:sz w:val="22"/>
          <w:szCs w:val="22"/>
          <w:lang w:val="es-ES"/>
        </w:rPr>
      </w:pPr>
      <w:r>
        <w:rPr>
          <w:rFonts w:ascii="Helvetica" w:hAnsi="Helvetica" w:cs="Open Sans"/>
          <w:sz w:val="22"/>
          <w:szCs w:val="22"/>
          <w:lang w:val="es-ES"/>
        </w:rPr>
        <w:t>ICL Specialty Fertilizers va a estar presente en la “Feria Internacional de Planta, Flor, Paisajismo y Bricojardin”, Iberflora 2018, que se va a celebrar en Valencia del 3 al 5 de octubre. ICL contará con un stand en el Pabellón 1 de la Feria de Valencia (</w:t>
      </w:r>
      <w:r w:rsidR="00DA70FF">
        <w:rPr>
          <w:rFonts w:ascii="Helvetica" w:hAnsi="Helvetica" w:cs="Open Sans"/>
          <w:sz w:val="22"/>
          <w:szCs w:val="22"/>
          <w:lang w:val="es-ES"/>
        </w:rPr>
        <w:t>Nivel 3 - S</w:t>
      </w:r>
      <w:r>
        <w:rPr>
          <w:rFonts w:ascii="Helvetica" w:hAnsi="Helvetica" w:cs="Open Sans"/>
          <w:sz w:val="22"/>
          <w:szCs w:val="22"/>
          <w:lang w:val="es-ES"/>
        </w:rPr>
        <w:t>tand D23/24) desde donde presentará sus importantes noved</w:t>
      </w:r>
      <w:r w:rsidR="002843C6">
        <w:rPr>
          <w:rFonts w:ascii="Helvetica" w:hAnsi="Helvetica" w:cs="Open Sans"/>
          <w:sz w:val="22"/>
          <w:szCs w:val="22"/>
          <w:lang w:val="es-ES"/>
        </w:rPr>
        <w:t>ades para esta campaña.</w:t>
      </w:r>
    </w:p>
    <w:p w14:paraId="40425C12" w14:textId="362B5E00" w:rsidR="00DA70FF" w:rsidRDefault="002843C6" w:rsidP="002843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/>
        <w:jc w:val="both"/>
        <w:rPr>
          <w:rStyle w:val="Textoennegrita"/>
          <w:rFonts w:ascii="Arial" w:hAnsi="Arial" w:cs="Open Sans"/>
          <w:b w:val="0"/>
          <w:sz w:val="22"/>
          <w:lang w:val="es-ES" w:eastAsia="en-GB"/>
        </w:rPr>
      </w:pPr>
      <w:r>
        <w:rPr>
          <w:rFonts w:ascii="Helvetica" w:hAnsi="Helvetica" w:cs="Open Sans"/>
          <w:sz w:val="22"/>
          <w:szCs w:val="22"/>
          <w:lang w:val="es-ES"/>
        </w:rPr>
        <w:t>Los visitantes profesionales de Iberflora 2018 podrán conocer en el stand de ICL Specialt</w:t>
      </w:r>
      <w:r w:rsidR="00DA70FF">
        <w:rPr>
          <w:rFonts w:ascii="Helvetica" w:hAnsi="Helvetica" w:cs="Open Sans"/>
          <w:sz w:val="22"/>
          <w:szCs w:val="22"/>
          <w:lang w:val="es-ES"/>
        </w:rPr>
        <w:t>y</w:t>
      </w:r>
      <w:r>
        <w:rPr>
          <w:rFonts w:ascii="Helvetica" w:hAnsi="Helvetica" w:cs="Open Sans"/>
          <w:sz w:val="22"/>
          <w:szCs w:val="22"/>
          <w:lang w:val="es-ES"/>
        </w:rPr>
        <w:t xml:space="preserve"> Fertilizers toda su gama de fertilizantes para una nutrición precisa de los cultivos ornamentales, así como sus novedades para esta campaña, como </w:t>
      </w:r>
      <w:hyperlink r:id="rId7" w:history="1">
        <w:r w:rsidR="005E0B0A" w:rsidRPr="002843C6">
          <w:rPr>
            <w:rStyle w:val="Hipervnculo"/>
            <w:rFonts w:ascii="Helvetica" w:hAnsi="Helvetica" w:cs="Open Sans"/>
            <w:b/>
            <w:sz w:val="22"/>
            <w:szCs w:val="22"/>
            <w:lang w:val="es-ES_tradnl"/>
          </w:rPr>
          <w:t>Ready Germiplus</w:t>
        </w:r>
      </w:hyperlink>
      <w:r>
        <w:rPr>
          <w:rFonts w:ascii="Helvetica" w:hAnsi="Helvetica" w:cs="Open Sans"/>
          <w:sz w:val="22"/>
          <w:szCs w:val="22"/>
          <w:lang w:val="es-ES_tradnl"/>
        </w:rPr>
        <w:t xml:space="preserve">, un nuevo </w:t>
      </w:r>
      <w:r w:rsidR="00FE45BF" w:rsidRPr="005B17D3">
        <w:rPr>
          <w:rFonts w:ascii="Helvetica" w:hAnsi="Helvetica" w:cs="Open Sans"/>
          <w:sz w:val="22"/>
          <w:szCs w:val="22"/>
          <w:lang w:val="es-ES_tradnl"/>
        </w:rPr>
        <w:t xml:space="preserve">herbicida granulado de aplicación directa al suelo registrado en España para </w:t>
      </w:r>
      <w:r w:rsidR="00332BD1" w:rsidRPr="00332BD1">
        <w:rPr>
          <w:rFonts w:ascii="Helvetica" w:hAnsi="Helvetica" w:cs="Open Sans"/>
          <w:sz w:val="22"/>
          <w:szCs w:val="22"/>
          <w:lang w:val="es-ES_tradnl"/>
        </w:rPr>
        <w:t xml:space="preserve">el control de malas hierbas gramíneas y dicotiledóneas </w:t>
      </w:r>
      <w:r>
        <w:rPr>
          <w:rFonts w:ascii="Helvetica" w:hAnsi="Helvetica" w:cs="Open Sans"/>
          <w:sz w:val="22"/>
          <w:szCs w:val="22"/>
          <w:lang w:val="es-ES_tradnl"/>
        </w:rPr>
        <w:t xml:space="preserve">tanto </w:t>
      </w:r>
      <w:r w:rsidR="00332BD1" w:rsidRPr="00332BD1">
        <w:rPr>
          <w:rFonts w:ascii="Helvetica" w:hAnsi="Helvetica" w:cs="Open Sans"/>
          <w:sz w:val="22"/>
          <w:szCs w:val="22"/>
          <w:lang w:val="es-ES_tradnl"/>
        </w:rPr>
        <w:t xml:space="preserve">en cultivos </w:t>
      </w:r>
      <w:r>
        <w:rPr>
          <w:rFonts w:ascii="Helvetica" w:hAnsi="Helvetica" w:cs="Open Sans"/>
          <w:sz w:val="22"/>
          <w:szCs w:val="22"/>
          <w:lang w:val="es-ES_tradnl"/>
        </w:rPr>
        <w:t>ornamentales de viveros como</w:t>
      </w:r>
      <w:r w:rsidR="00332BD1">
        <w:rPr>
          <w:rFonts w:ascii="Helvetica" w:hAnsi="Helvetica" w:cs="Open Sans"/>
          <w:sz w:val="22"/>
          <w:szCs w:val="22"/>
          <w:lang w:val="es-ES_tradnl"/>
        </w:rPr>
        <w:t xml:space="preserve"> en ár</w:t>
      </w:r>
      <w:r w:rsidR="00332BD1" w:rsidRPr="00332BD1">
        <w:rPr>
          <w:rFonts w:ascii="Helvetica" w:hAnsi="Helvetica" w:cs="Open Sans"/>
          <w:sz w:val="22"/>
          <w:szCs w:val="22"/>
          <w:lang w:val="es-ES_tradnl"/>
        </w:rPr>
        <w:t>eas verdes</w:t>
      </w:r>
      <w:r>
        <w:rPr>
          <w:rFonts w:ascii="Helvetica" w:hAnsi="Helvetica" w:cs="Open Sans"/>
          <w:sz w:val="22"/>
          <w:szCs w:val="22"/>
          <w:lang w:val="es-ES_tradnl"/>
        </w:rPr>
        <w:t>.</w:t>
      </w:r>
      <w:r w:rsidR="005E0B0A">
        <w:rPr>
          <w:rFonts w:ascii="Helvetica" w:hAnsi="Helvetica" w:cs="Open Sans"/>
          <w:sz w:val="22"/>
          <w:szCs w:val="22"/>
          <w:lang w:val="es-ES_tradnl"/>
        </w:rPr>
        <w:t xml:space="preserve"> </w:t>
      </w:r>
      <w:r>
        <w:rPr>
          <w:rFonts w:ascii="Helvetica" w:hAnsi="Helvetica" w:cs="Open Sans"/>
          <w:sz w:val="22"/>
          <w:szCs w:val="22"/>
          <w:lang w:val="es-ES_tradnl"/>
        </w:rPr>
        <w:t xml:space="preserve">También se presentará el nuevo </w:t>
      </w:r>
      <w:hyperlink r:id="rId8" w:history="1">
        <w:r w:rsidRPr="002843C6">
          <w:rPr>
            <w:rStyle w:val="Hipervnculo"/>
            <w:rFonts w:ascii="Helvetica" w:hAnsi="Helvetica" w:cs="Open Sans"/>
            <w:b/>
            <w:sz w:val="22"/>
            <w:szCs w:val="22"/>
            <w:lang w:val="es-ES_tradnl"/>
          </w:rPr>
          <w:t>H2Gro</w:t>
        </w:r>
      </w:hyperlink>
      <w:r>
        <w:rPr>
          <w:rFonts w:ascii="Helvetica" w:hAnsi="Helvetica" w:cs="Open Sans"/>
          <w:sz w:val="22"/>
          <w:szCs w:val="22"/>
          <w:lang w:val="es-ES_tradnl"/>
        </w:rPr>
        <w:t xml:space="preserve">, un </w:t>
      </w:r>
      <w:r w:rsidR="005E0B0A" w:rsidRPr="005E0B0A">
        <w:rPr>
          <w:rFonts w:ascii="Helvetica" w:hAnsi="Helvetica" w:cs="Open Sans"/>
          <w:sz w:val="22"/>
          <w:szCs w:val="22"/>
          <w:lang w:val="es-ES_tradnl"/>
        </w:rPr>
        <w:t xml:space="preserve">agente humectante </w:t>
      </w:r>
      <w:r w:rsidR="005E0B0A">
        <w:rPr>
          <w:rFonts w:ascii="Helvetica" w:hAnsi="Helvetica" w:cs="Open Sans"/>
          <w:sz w:val="22"/>
          <w:szCs w:val="22"/>
          <w:lang w:val="es-ES_tradnl"/>
        </w:rPr>
        <w:t>para</w:t>
      </w:r>
      <w:r w:rsidR="005E0B0A" w:rsidRPr="005E0B0A">
        <w:rPr>
          <w:rFonts w:ascii="Helvetica" w:hAnsi="Helvetica" w:cs="Open Sans"/>
          <w:sz w:val="22"/>
          <w:szCs w:val="22"/>
          <w:lang w:val="es-ES_tradnl"/>
        </w:rPr>
        <w:t xml:space="preserve"> cultivo</w:t>
      </w:r>
      <w:r w:rsidR="005E0B0A">
        <w:rPr>
          <w:rFonts w:ascii="Helvetica" w:hAnsi="Helvetica" w:cs="Open Sans"/>
          <w:sz w:val="22"/>
          <w:szCs w:val="22"/>
          <w:lang w:val="es-ES_tradnl"/>
        </w:rPr>
        <w:t xml:space="preserve">s de la horticultura ornamental, que </w:t>
      </w:r>
      <w:r w:rsidR="005E0B0A" w:rsidRPr="005E0B0A">
        <w:rPr>
          <w:rFonts w:ascii="Helvetica" w:hAnsi="Helvetica" w:cs="Open Sans"/>
          <w:sz w:val="22"/>
          <w:szCs w:val="22"/>
          <w:lang w:val="es-ES_tradnl"/>
        </w:rPr>
        <w:t>mejora la absorción del agua y su distribución en el sustrato</w:t>
      </w:r>
      <w:r>
        <w:rPr>
          <w:rFonts w:ascii="Helvetica" w:hAnsi="Helvetica" w:cs="Open Sans"/>
          <w:sz w:val="22"/>
          <w:szCs w:val="22"/>
          <w:lang w:val="es-ES_tradnl"/>
        </w:rPr>
        <w:t xml:space="preserve">. Otra novedad será el </w:t>
      </w:r>
      <w:hyperlink r:id="rId9" w:history="1">
        <w:r w:rsidRPr="002843C6">
          <w:rPr>
            <w:rStyle w:val="Hipervnculo"/>
            <w:rFonts w:ascii="Arial" w:hAnsi="Arial" w:cs="Open Sans"/>
            <w:b/>
            <w:sz w:val="22"/>
            <w:u w:val="none"/>
            <w:lang w:val="es-ES" w:eastAsia="en-GB"/>
          </w:rPr>
          <w:t>Osmocote CalMag+P</w:t>
        </w:r>
      </w:hyperlink>
      <w:r>
        <w:rPr>
          <w:rFonts w:ascii="Arial" w:hAnsi="Arial"/>
          <w:sz w:val="22"/>
          <w:lang w:val="es-ES"/>
        </w:rPr>
        <w:t xml:space="preserve">, un </w:t>
      </w:r>
      <w:r w:rsidRPr="002843C6">
        <w:rPr>
          <w:rStyle w:val="Textoennegrita"/>
          <w:rFonts w:ascii="Arial" w:hAnsi="Arial" w:cs="Open Sans"/>
          <w:b w:val="0"/>
          <w:sz w:val="22"/>
          <w:lang w:val="es-ES" w:eastAsia="en-GB"/>
        </w:rPr>
        <w:t>fertilizante de liberación controlada totalmente encapsulado con una longevidad de 3 a 4 meses, compuesto por nitrógeno, fósforo, calcio y magnesio</w:t>
      </w:r>
      <w:r>
        <w:rPr>
          <w:rStyle w:val="Textoennegrita"/>
          <w:rFonts w:ascii="Arial" w:hAnsi="Arial" w:cs="Open Sans"/>
          <w:b w:val="0"/>
          <w:sz w:val="22"/>
          <w:lang w:val="es-ES" w:eastAsia="en-GB"/>
        </w:rPr>
        <w:t xml:space="preserve">. </w:t>
      </w:r>
    </w:p>
    <w:p w14:paraId="6D93543E" w14:textId="042A9C2C" w:rsidR="002843C6" w:rsidRDefault="002843C6" w:rsidP="002843C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/>
        <w:jc w:val="both"/>
        <w:rPr>
          <w:rStyle w:val="Textoennegrita"/>
          <w:rFonts w:ascii="Arial" w:hAnsi="Arial" w:cs="Open Sans"/>
          <w:b w:val="0"/>
          <w:sz w:val="22"/>
          <w:lang w:val="es-ES" w:eastAsia="en-GB"/>
        </w:rPr>
      </w:pPr>
      <w:r>
        <w:rPr>
          <w:rStyle w:val="Textoennegrita"/>
          <w:rFonts w:ascii="Arial" w:hAnsi="Arial" w:cs="Open Sans"/>
          <w:b w:val="0"/>
          <w:sz w:val="22"/>
          <w:lang w:val="es-ES" w:eastAsia="en-GB"/>
        </w:rPr>
        <w:t xml:space="preserve">Estas no serán las únicas razones por las que visitar el stand de ICL Specialty Fertilizers </w:t>
      </w:r>
      <w:r w:rsidR="003C6E77">
        <w:rPr>
          <w:rStyle w:val="Textoennegrita"/>
          <w:rFonts w:ascii="Arial" w:hAnsi="Arial" w:cs="Open Sans"/>
          <w:b w:val="0"/>
          <w:sz w:val="22"/>
          <w:lang w:val="es-ES" w:eastAsia="en-GB"/>
        </w:rPr>
        <w:t>en</w:t>
      </w:r>
      <w:r>
        <w:rPr>
          <w:rStyle w:val="Textoennegrita"/>
          <w:rFonts w:ascii="Arial" w:hAnsi="Arial" w:cs="Open Sans"/>
          <w:b w:val="0"/>
          <w:sz w:val="22"/>
          <w:lang w:val="es-ES" w:eastAsia="en-GB"/>
        </w:rPr>
        <w:t xml:space="preserve"> Iberflora 2018, ya que durante la feria</w:t>
      </w:r>
      <w:r w:rsidR="00DA70FF">
        <w:rPr>
          <w:rStyle w:val="Textoennegrita"/>
          <w:rFonts w:ascii="Arial" w:hAnsi="Arial" w:cs="Open Sans"/>
          <w:b w:val="0"/>
          <w:sz w:val="22"/>
          <w:lang w:val="es-ES" w:eastAsia="en-GB"/>
        </w:rPr>
        <w:t xml:space="preserve">, aprovechando el lanzamiento de la </w:t>
      </w:r>
      <w:r w:rsidR="00DA70FF" w:rsidRPr="00D17109">
        <w:rPr>
          <w:rStyle w:val="Textoennegrita"/>
          <w:rFonts w:ascii="Arial" w:hAnsi="Arial" w:cs="Open Sans"/>
          <w:sz w:val="22"/>
          <w:lang w:val="es-ES" w:eastAsia="en-GB"/>
        </w:rPr>
        <w:t>nueva campaña Osmocote Exa</w:t>
      </w:r>
      <w:r w:rsidR="00DA70FF">
        <w:rPr>
          <w:rStyle w:val="Textoennegrita"/>
          <w:rFonts w:ascii="Arial" w:hAnsi="Arial" w:cs="Open Sans"/>
          <w:sz w:val="22"/>
          <w:lang w:val="es-ES" w:eastAsia="en-GB"/>
        </w:rPr>
        <w:t>c</w:t>
      </w:r>
      <w:r w:rsidR="00DA70FF" w:rsidRPr="00D17109">
        <w:rPr>
          <w:rStyle w:val="Textoennegrita"/>
          <w:rFonts w:ascii="Arial" w:hAnsi="Arial" w:cs="Open Sans"/>
          <w:sz w:val="22"/>
          <w:lang w:val="es-ES" w:eastAsia="en-GB"/>
        </w:rPr>
        <w:t>t “El tiempo es oro”</w:t>
      </w:r>
      <w:r w:rsidR="00DA70FF">
        <w:rPr>
          <w:rStyle w:val="Textoennegrita"/>
          <w:rFonts w:ascii="Arial" w:hAnsi="Arial" w:cs="Open Sans"/>
          <w:b w:val="0"/>
          <w:sz w:val="22"/>
          <w:lang w:val="es-ES" w:eastAsia="en-GB"/>
        </w:rPr>
        <w:t xml:space="preserve">, </w:t>
      </w:r>
      <w:r>
        <w:rPr>
          <w:rStyle w:val="Textoennegrita"/>
          <w:rFonts w:ascii="Arial" w:hAnsi="Arial" w:cs="Open Sans"/>
          <w:b w:val="0"/>
          <w:sz w:val="22"/>
          <w:lang w:val="es-ES" w:eastAsia="en-GB"/>
        </w:rPr>
        <w:t>se desarrollarán todo tipo de actividades y concursos para los clientes y visitantes profesionales que se acerquen a conocer las novedades de la compañía. Un buen café y el mejor asesoramiento para la nutrición de los cultivos ornamentales siempre estará disponible en el stand de ICL Specialt</w:t>
      </w:r>
      <w:r w:rsidR="00DA70FF">
        <w:rPr>
          <w:rStyle w:val="Textoennegrita"/>
          <w:rFonts w:ascii="Arial" w:hAnsi="Arial" w:cs="Open Sans"/>
          <w:b w:val="0"/>
          <w:sz w:val="22"/>
          <w:lang w:val="es-ES" w:eastAsia="en-GB"/>
        </w:rPr>
        <w:t>y</w:t>
      </w:r>
      <w:r>
        <w:rPr>
          <w:rStyle w:val="Textoennegrita"/>
          <w:rFonts w:ascii="Arial" w:hAnsi="Arial" w:cs="Open Sans"/>
          <w:b w:val="0"/>
          <w:sz w:val="22"/>
          <w:lang w:val="es-ES" w:eastAsia="en-GB"/>
        </w:rPr>
        <w:t xml:space="preserve"> Fertilizers (Pabellón 1, stand D23/24). </w:t>
      </w:r>
    </w:p>
    <w:p w14:paraId="454E26F1" w14:textId="77777777" w:rsidR="003C6E77" w:rsidRDefault="003C6E77" w:rsidP="003C6E7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/>
        <w:jc w:val="both"/>
        <w:rPr>
          <w:rStyle w:val="Textoennegrita"/>
          <w:rFonts w:ascii="Arial" w:hAnsi="Arial" w:cs="Open Sans"/>
          <w:sz w:val="22"/>
          <w:lang w:val="es-ES" w:eastAsia="en-GB"/>
        </w:rPr>
      </w:pPr>
    </w:p>
    <w:p w14:paraId="38D199B9" w14:textId="3D1E0FBA" w:rsidR="00967F51" w:rsidRPr="003C6E77" w:rsidRDefault="003C6E77" w:rsidP="003C6E7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Open Sans"/>
          <w:b/>
          <w:bCs/>
          <w:sz w:val="22"/>
          <w:lang w:val="es-ES" w:eastAsia="en-GB"/>
        </w:rPr>
      </w:pPr>
      <w:r w:rsidRPr="003C6E77">
        <w:rPr>
          <w:rStyle w:val="Textoennegrita"/>
          <w:rFonts w:ascii="Arial" w:hAnsi="Arial" w:cs="Open Sans"/>
          <w:sz w:val="22"/>
          <w:lang w:val="es-ES" w:eastAsia="en-GB"/>
        </w:rPr>
        <w:t xml:space="preserve">Más información: </w:t>
      </w:r>
      <w:r>
        <w:rPr>
          <w:rStyle w:val="Textoennegrita"/>
          <w:rFonts w:ascii="Arial" w:hAnsi="Arial" w:cs="Open Sans"/>
          <w:sz w:val="22"/>
          <w:lang w:val="es-ES" w:eastAsia="en-GB"/>
        </w:rPr>
        <w:t>www.</w:t>
      </w:r>
      <w:r w:rsidRPr="003C6E77">
        <w:rPr>
          <w:rStyle w:val="Textoennegrita"/>
          <w:rFonts w:ascii="Arial" w:hAnsi="Arial" w:cs="Open Sans"/>
          <w:sz w:val="22"/>
          <w:lang w:val="es-ES" w:eastAsia="en-GB"/>
        </w:rPr>
        <w:t>icl-sf.com/es-es/news/iberflora-2018/</w:t>
      </w:r>
    </w:p>
    <w:sectPr w:rsidR="00967F51" w:rsidRPr="003C6E77" w:rsidSect="00013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21" w:bottom="1134" w:left="1021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251E" w14:textId="77777777" w:rsidR="00FA4799" w:rsidRDefault="00FA4799">
      <w:r>
        <w:separator/>
      </w:r>
    </w:p>
  </w:endnote>
  <w:endnote w:type="continuationSeparator" w:id="0">
    <w:p w14:paraId="48A42F99" w14:textId="77777777" w:rsidR="00FA4799" w:rsidRDefault="00FA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vid">
    <w:panose1 w:val="020B0604020202020204"/>
    <w:charset w:val="B1"/>
    <w:family w:val="swiss"/>
    <w:pitch w:val="variable"/>
    <w:sig w:usb0="00000803" w:usb1="00000000" w:usb2="00000000" w:usb3="00000000" w:csb0="00000021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Calligraphic">
    <w:altName w:val="Courier New"/>
    <w:panose1 w:val="020B0604020202020204"/>
    <w:charset w:val="B1"/>
    <w:family w:val="auto"/>
    <w:pitch w:val="variable"/>
    <w:sig w:usb0="00000801" w:usb1="00000000" w:usb2="00000000" w:usb3="00000000" w:csb0="00000020" w:csb1="00000000"/>
  </w:font>
  <w:font w:name="David Transparent">
    <w:panose1 w:val="020B0604020202020204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Tahoma"/>
    <w:panose1 w:val="020B0604020202020204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F91C" w14:textId="77777777" w:rsidR="009C4BFB" w:rsidRDefault="009C4B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000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4"/>
      <w:gridCol w:w="1381"/>
      <w:gridCol w:w="2067"/>
      <w:gridCol w:w="884"/>
      <w:gridCol w:w="317"/>
      <w:gridCol w:w="4331"/>
    </w:tblGrid>
    <w:tr w:rsidR="009E6E96" w:rsidRPr="008955CB" w14:paraId="7838AD80" w14:textId="77777777">
      <w:trPr>
        <w:trHeight w:hRule="exact" w:val="20"/>
      </w:trPr>
      <w:tc>
        <w:tcPr>
          <w:tcW w:w="4428" w:type="dxa"/>
          <w:gridSpan w:val="3"/>
        </w:tcPr>
        <w:p w14:paraId="52D64103" w14:textId="77777777" w:rsidR="009E6E96" w:rsidRPr="008955CB" w:rsidRDefault="009E6E96" w:rsidP="009E6E96">
          <w:pPr>
            <w:pStyle w:val="Piedepgina"/>
            <w:rPr>
              <w:rFonts w:ascii="Arial" w:hAnsi="Arial" w:cs="Miriam"/>
              <w:color w:val="000080"/>
              <w:sz w:val="18"/>
              <w:szCs w:val="18"/>
            </w:rPr>
          </w:pPr>
        </w:p>
      </w:tc>
      <w:tc>
        <w:tcPr>
          <w:tcW w:w="900" w:type="dxa"/>
        </w:tcPr>
        <w:p w14:paraId="008900B6" w14:textId="77777777" w:rsidR="009E6E96" w:rsidRPr="008955CB" w:rsidRDefault="009E6E96" w:rsidP="009E6E96">
          <w:pPr>
            <w:pStyle w:val="Piedepgina"/>
            <w:rPr>
              <w:rFonts w:ascii="Arial" w:hAnsi="Arial" w:cs="Miriam"/>
              <w:sz w:val="18"/>
              <w:szCs w:val="18"/>
            </w:rPr>
          </w:pPr>
        </w:p>
      </w:tc>
      <w:tc>
        <w:tcPr>
          <w:tcW w:w="4752" w:type="dxa"/>
          <w:gridSpan w:val="2"/>
        </w:tcPr>
        <w:p w14:paraId="22ECF9D2" w14:textId="77777777" w:rsidR="009E6E96" w:rsidRPr="008955CB" w:rsidRDefault="009E6E96" w:rsidP="009E6E96">
          <w:pPr>
            <w:pStyle w:val="Piedepgina"/>
            <w:bidi/>
            <w:rPr>
              <w:rFonts w:ascii="Arial" w:hAnsi="Arial" w:cs="Miriam"/>
              <w:color w:val="000080"/>
              <w:sz w:val="18"/>
              <w:szCs w:val="18"/>
              <w:rtl/>
            </w:rPr>
          </w:pPr>
        </w:p>
      </w:tc>
    </w:tr>
    <w:tr w:rsidR="002A7FFC" w:rsidRPr="008955CB" w14:paraId="6E54B00C" w14:textId="77777777">
      <w:trPr>
        <w:gridAfter w:val="1"/>
        <w:wAfter w:w="4428" w:type="dxa"/>
      </w:trPr>
      <w:tc>
        <w:tcPr>
          <w:tcW w:w="900" w:type="dxa"/>
        </w:tcPr>
        <w:p w14:paraId="31650664" w14:textId="48148C29" w:rsidR="002A7FFC" w:rsidRPr="00CE3CD5" w:rsidRDefault="00802840" w:rsidP="009E6E96">
          <w:pPr>
            <w:pStyle w:val="Piedepgina"/>
            <w:rPr>
              <w:rFonts w:ascii="Arial" w:hAnsi="Arial" w:cs="Miriam"/>
              <w:color w:val="071847"/>
              <w:sz w:val="18"/>
              <w:szCs w:val="18"/>
            </w:rPr>
          </w:pPr>
          <w:r>
            <w:rPr>
              <w:noProof/>
              <w:szCs w:val="18"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219E22" wp14:editId="57C5532B">
                    <wp:simplePos x="0" y="0"/>
                    <wp:positionH relativeFrom="column">
                      <wp:posOffset>-143510</wp:posOffset>
                    </wp:positionH>
                    <wp:positionV relativeFrom="margin">
                      <wp:posOffset>41910</wp:posOffset>
                    </wp:positionV>
                    <wp:extent cx="2809875" cy="1177925"/>
                    <wp:effectExtent l="0" t="0" r="9525" b="0"/>
                    <wp:wrapNone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9875" cy="1177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Tablaconcuadrcula"/>
                                  <w:tblW w:w="4626" w:type="dxa"/>
                                  <w:tbl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626"/>
                                </w:tblGrid>
                                <w:tr w:rsidR="00013E9F" w:rsidRPr="00444F5E" w14:paraId="111763E9" w14:textId="77777777">
                                  <w:tc>
                                    <w:tcPr>
                                      <w:tcW w:w="4626" w:type="dxa"/>
                                    </w:tcPr>
                                    <w:p w14:paraId="24990286" w14:textId="713B468C" w:rsidR="009C4BFB" w:rsidRPr="005E0B0A" w:rsidRDefault="009C4BFB" w:rsidP="0073248A">
                                      <w:pPr>
                                        <w:rPr>
                                          <w:rFonts w:asciiTheme="minorHAnsi" w:hAnsiTheme="minorHAnsi" w:cs="Miriam"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 w:rsidRPr="005E0B0A">
                                        <w:rPr>
                                          <w:rFonts w:asciiTheme="minorHAnsi" w:hAnsiTheme="minorHAnsi" w:cs="Miriam"/>
                                          <w:b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 xml:space="preserve">ICL </w:t>
                                      </w:r>
                                      <w:r w:rsidR="006163B0" w:rsidRPr="005E0B0A">
                                        <w:rPr>
                                          <w:rFonts w:asciiTheme="minorHAnsi" w:hAnsiTheme="minorHAnsi" w:cs="Miriam"/>
                                          <w:b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Specialty Fertilizers</w:t>
                                      </w:r>
                                    </w:p>
                                    <w:p w14:paraId="6EFB2ABA" w14:textId="3523419D" w:rsidR="0073248A" w:rsidRPr="0073248A" w:rsidRDefault="0073248A" w:rsidP="0073248A">
                                      <w:pPr>
                                        <w:rPr>
                                          <w:rFonts w:asciiTheme="minorHAnsi" w:hAnsiTheme="minorHAnsi" w:cs="Miriam"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 w:rsidRPr="0073248A">
                                        <w:rPr>
                                          <w:rFonts w:asciiTheme="minorHAnsi" w:hAnsiTheme="minorHAnsi" w:cs="Miriam"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Polígono Industrial El Saladar</w:t>
                                      </w:r>
                                    </w:p>
                                    <w:p w14:paraId="34A3053A" w14:textId="77777777" w:rsidR="0073248A" w:rsidRPr="0073248A" w:rsidRDefault="0073248A" w:rsidP="0073248A">
                                      <w:pPr>
                                        <w:rPr>
                                          <w:rFonts w:asciiTheme="minorHAnsi" w:hAnsiTheme="minorHAnsi" w:cs="Miriam"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 w:rsidRPr="0073248A">
                                        <w:rPr>
                                          <w:rFonts w:asciiTheme="minorHAnsi" w:hAnsiTheme="minorHAnsi" w:cs="Miriam"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 xml:space="preserve">Avda. Antonio Fuentes Méndez, 1 </w:t>
                                      </w:r>
                                    </w:p>
                                    <w:p w14:paraId="6D0C4C06" w14:textId="77777777" w:rsidR="0073248A" w:rsidRPr="0073248A" w:rsidRDefault="0073248A" w:rsidP="0073248A">
                                      <w:pPr>
                                        <w:rPr>
                                          <w:rFonts w:asciiTheme="minorHAnsi" w:hAnsiTheme="minorHAnsi" w:cs="Miriam"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</w:pPr>
                                      <w:r w:rsidRPr="0073248A">
                                        <w:rPr>
                                          <w:rFonts w:asciiTheme="minorHAnsi" w:hAnsiTheme="minorHAnsi" w:cs="Miriam"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"/>
                                        </w:rPr>
                                        <w:t>30850 Totana, Murcia, Spain</w:t>
                                      </w:r>
                                    </w:p>
                                    <w:p w14:paraId="61EB0B25" w14:textId="5455DAC0" w:rsidR="00013E9F" w:rsidRPr="00191CC0" w:rsidRDefault="0073248A">
                                      <w:pPr>
                                        <w:rPr>
                                          <w:color w:val="111847"/>
                                          <w:lang w:val="es-ES_tradnl"/>
                                        </w:rPr>
                                      </w:pPr>
                                      <w:r w:rsidRPr="00191CC0">
                                        <w:rPr>
                                          <w:rFonts w:asciiTheme="minorHAnsi" w:hAnsiTheme="minorHAnsi" w:cs="Miriam"/>
                                          <w:b/>
                                          <w:bCs/>
                                          <w:color w:val="111847"/>
                                          <w:sz w:val="20"/>
                                          <w:szCs w:val="20"/>
                                          <w:lang w:val="es-ES_tradnl"/>
                                        </w:rPr>
                                        <w:t>www.icl-sf.es</w:t>
                                      </w:r>
                                    </w:p>
                                  </w:tc>
                                </w:tr>
                              </w:tbl>
                              <w:p w14:paraId="49609079" w14:textId="77777777" w:rsidR="001D35BD" w:rsidRPr="0022396A" w:rsidRDefault="001D35BD" w:rsidP="00932DB9">
                                <w:pPr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219E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-11.3pt;margin-top:3.3pt;width:221.25pt;height: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" stroked="f">
                    <v:textbox>
                      <w:txbxContent>
                        <w:tbl>
                          <w:tblPr>
                            <w:tblStyle w:val="Tablaconcuadrcula"/>
                            <w:tblW w:w="4626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26"/>
                          </w:tblGrid>
                          <w:tr w:rsidR="00013E9F" w:rsidRPr="00444F5E" w14:paraId="111763E9" w14:textId="77777777">
                            <w:tc>
                              <w:tcPr>
                                <w:tcW w:w="4626" w:type="dxa"/>
                              </w:tcPr>
                              <w:p w14:paraId="24990286" w14:textId="713B468C" w:rsidR="009C4BFB" w:rsidRPr="005E0B0A" w:rsidRDefault="009C4BFB" w:rsidP="0073248A">
                                <w:pPr>
                                  <w:rPr>
                                    <w:rFonts w:asciiTheme="minorHAnsi" w:hAnsiTheme="minorHAnsi" w:cs="Miriam"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5E0B0A">
                                  <w:rPr>
                                    <w:rFonts w:asciiTheme="minorHAnsi" w:hAnsiTheme="minorHAnsi" w:cs="Miriam"/>
                                    <w:b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  <w:t xml:space="preserve">ICL </w:t>
                                </w:r>
                                <w:r w:rsidR="006163B0" w:rsidRPr="005E0B0A">
                                  <w:rPr>
                                    <w:rFonts w:asciiTheme="minorHAnsi" w:hAnsiTheme="minorHAnsi" w:cs="Miriam"/>
                                    <w:b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  <w:t>Specialty Fertilizers</w:t>
                                </w:r>
                              </w:p>
                              <w:p w14:paraId="6EFB2ABA" w14:textId="3523419D" w:rsidR="0073248A" w:rsidRPr="0073248A" w:rsidRDefault="0073248A" w:rsidP="0073248A">
                                <w:pPr>
                                  <w:rPr>
                                    <w:rFonts w:asciiTheme="minorHAnsi" w:hAnsiTheme="minorHAnsi" w:cs="Miriam"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73248A">
                                  <w:rPr>
                                    <w:rFonts w:asciiTheme="minorHAnsi" w:hAnsiTheme="minorHAnsi" w:cs="Miriam"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  <w:t>Polígono Industrial El Saladar</w:t>
                                </w:r>
                              </w:p>
                              <w:p w14:paraId="34A3053A" w14:textId="77777777" w:rsidR="0073248A" w:rsidRPr="0073248A" w:rsidRDefault="0073248A" w:rsidP="0073248A">
                                <w:pPr>
                                  <w:rPr>
                                    <w:rFonts w:asciiTheme="minorHAnsi" w:hAnsiTheme="minorHAnsi" w:cs="Miriam"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73248A">
                                  <w:rPr>
                                    <w:rFonts w:asciiTheme="minorHAnsi" w:hAnsiTheme="minorHAnsi" w:cs="Miriam"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  <w:t xml:space="preserve">Avda. Antonio Fuentes Méndez, 1 </w:t>
                                </w:r>
                              </w:p>
                              <w:p w14:paraId="6D0C4C06" w14:textId="77777777" w:rsidR="0073248A" w:rsidRPr="0073248A" w:rsidRDefault="0073248A" w:rsidP="0073248A">
                                <w:pPr>
                                  <w:rPr>
                                    <w:rFonts w:asciiTheme="minorHAnsi" w:hAnsiTheme="minorHAnsi" w:cs="Miriam"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73248A">
                                  <w:rPr>
                                    <w:rFonts w:asciiTheme="minorHAnsi" w:hAnsiTheme="minorHAnsi" w:cs="Miriam"/>
                                    <w:bCs/>
                                    <w:color w:val="111847"/>
                                    <w:sz w:val="20"/>
                                    <w:szCs w:val="20"/>
                                    <w:lang w:val="es-ES"/>
                                  </w:rPr>
                                  <w:t>30850 Totana, Murcia, Spain</w:t>
                                </w:r>
                              </w:p>
                              <w:p w14:paraId="61EB0B25" w14:textId="5455DAC0" w:rsidR="00013E9F" w:rsidRPr="00191CC0" w:rsidRDefault="0073248A">
                                <w:pPr>
                                  <w:rPr>
                                    <w:color w:val="111847"/>
                                    <w:lang w:val="es-ES_tradnl"/>
                                  </w:rPr>
                                </w:pPr>
                                <w:r w:rsidRPr="00191CC0">
                                  <w:rPr>
                                    <w:rFonts w:asciiTheme="minorHAnsi" w:hAnsiTheme="minorHAnsi" w:cs="Miriam"/>
                                    <w:b/>
                                    <w:bCs/>
                                    <w:color w:val="111847"/>
                                    <w:sz w:val="20"/>
                                    <w:szCs w:val="20"/>
                                    <w:lang w:val="es-ES_tradnl"/>
                                  </w:rPr>
                                  <w:t>www.icl-sf.es</w:t>
                                </w:r>
                              </w:p>
                            </w:tc>
                          </w:tr>
                        </w:tbl>
                        <w:p w14:paraId="49609079" w14:textId="77777777" w:rsidR="001D35BD" w:rsidRPr="0022396A" w:rsidRDefault="001D35BD" w:rsidP="00932DB9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</w:p>
      </w:tc>
      <w:tc>
        <w:tcPr>
          <w:tcW w:w="4752" w:type="dxa"/>
          <w:gridSpan w:val="4"/>
          <w:vAlign w:val="center"/>
        </w:tcPr>
        <w:p w14:paraId="0BB3085E" w14:textId="77777777" w:rsidR="002A7FFC" w:rsidRPr="0022396A" w:rsidRDefault="002A7FFC" w:rsidP="00D3646C">
          <w:pPr>
            <w:pStyle w:val="Piedepgina"/>
            <w:bidi/>
            <w:spacing w:line="276" w:lineRule="auto"/>
            <w:rPr>
              <w:rFonts w:ascii="Arial" w:hAnsi="Arial" w:cs="Miriam"/>
              <w:color w:val="071847"/>
              <w:sz w:val="18"/>
              <w:szCs w:val="18"/>
              <w:rtl/>
              <w:lang w:val="it-IT"/>
            </w:rPr>
          </w:pPr>
        </w:p>
      </w:tc>
    </w:tr>
    <w:tr w:rsidR="002A7FFC" w:rsidRPr="008955CB" w14:paraId="4A39FF56" w14:textId="77777777">
      <w:trPr>
        <w:gridAfter w:val="1"/>
        <w:wAfter w:w="4428" w:type="dxa"/>
      </w:trPr>
      <w:tc>
        <w:tcPr>
          <w:tcW w:w="2313" w:type="dxa"/>
          <w:gridSpan w:val="2"/>
        </w:tcPr>
        <w:p w14:paraId="41F2BB83" w14:textId="77777777" w:rsidR="002A7FFC" w:rsidRPr="00CE3CD5" w:rsidRDefault="002A7FFC" w:rsidP="009E6E96">
          <w:pPr>
            <w:pStyle w:val="Piedepgina"/>
            <w:rPr>
              <w:rFonts w:ascii="Arial" w:hAnsi="Arial" w:cs="Miriam"/>
              <w:color w:val="071847"/>
              <w:sz w:val="18"/>
              <w:szCs w:val="18"/>
              <w:lang w:val="it-IT"/>
            </w:rPr>
          </w:pPr>
        </w:p>
      </w:tc>
      <w:tc>
        <w:tcPr>
          <w:tcW w:w="3339" w:type="dxa"/>
          <w:gridSpan w:val="3"/>
          <w:vAlign w:val="center"/>
        </w:tcPr>
        <w:p w14:paraId="181073DF" w14:textId="77777777" w:rsidR="002A7FFC" w:rsidRPr="00CE3CD5" w:rsidRDefault="002A7FFC" w:rsidP="00D3646C">
          <w:pPr>
            <w:pStyle w:val="Piedepgina"/>
            <w:bidi/>
            <w:spacing w:line="276" w:lineRule="auto"/>
            <w:rPr>
              <w:rFonts w:ascii="Arial" w:hAnsi="Arial" w:cs="Miriam"/>
              <w:color w:val="071847"/>
              <w:sz w:val="17"/>
              <w:szCs w:val="17"/>
              <w:rtl/>
            </w:rPr>
          </w:pPr>
        </w:p>
      </w:tc>
    </w:tr>
  </w:tbl>
  <w:p w14:paraId="2E057177" w14:textId="77777777" w:rsidR="009E6E96" w:rsidRPr="008955CB" w:rsidRDefault="009E6E96" w:rsidP="009E6E96">
    <w:pPr>
      <w:pStyle w:val="Piedepgina"/>
      <w:rPr>
        <w:rFonts w:ascii="Arial" w:hAnsi="Arial" w:cs="Miriam"/>
        <w:sz w:val="18"/>
        <w:szCs w:val="18"/>
        <w:lang w:val="it-IT"/>
      </w:rPr>
    </w:pPr>
  </w:p>
  <w:p w14:paraId="21DEB94D" w14:textId="77777777" w:rsidR="009E6E96" w:rsidRPr="009E6E96" w:rsidRDefault="009E6E96" w:rsidP="009E6E96">
    <w:pPr>
      <w:pStyle w:val="Piedepgina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468E" w14:textId="77777777" w:rsidR="009C4BFB" w:rsidRDefault="009C4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D228" w14:textId="77777777" w:rsidR="00FA4799" w:rsidRDefault="00FA4799">
      <w:r>
        <w:separator/>
      </w:r>
    </w:p>
  </w:footnote>
  <w:footnote w:type="continuationSeparator" w:id="0">
    <w:p w14:paraId="73F3C9DE" w14:textId="77777777" w:rsidR="00FA4799" w:rsidRDefault="00FA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7E4F" w14:textId="77777777" w:rsidR="009C4BFB" w:rsidRDefault="009C4B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25C5B" w14:textId="77777777" w:rsidR="009E6E96" w:rsidRPr="001D35BD" w:rsidRDefault="00013E9F" w:rsidP="00013E9F">
    <w:pPr>
      <w:pStyle w:val="Encabezado"/>
      <w:ind w:hanging="993"/>
      <w:rPr>
        <w:b/>
        <w:bCs/>
      </w:rPr>
    </w:pPr>
    <w:r>
      <w:rPr>
        <w:b/>
        <w:bCs/>
        <w:noProof/>
        <w:lang w:val="es-ES" w:eastAsia="es-ES" w:bidi="ar-SA"/>
      </w:rPr>
      <w:drawing>
        <wp:inline distT="0" distB="0" distL="0" distR="0" wp14:anchorId="63436073" wp14:editId="2AD7F6BE">
          <wp:extent cx="7532721" cy="132800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ICL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21" cy="132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DEC31" w14:textId="77777777" w:rsidR="009E6E96" w:rsidRPr="001D35BD" w:rsidRDefault="009E6E96" w:rsidP="009E6E96">
    <w:pPr>
      <w:pStyle w:val="Encabezado"/>
      <w:rPr>
        <w:b/>
        <w:bCs/>
      </w:rPr>
    </w:pPr>
  </w:p>
  <w:p w14:paraId="62EB0B89" w14:textId="77777777" w:rsidR="009E6E96" w:rsidRPr="001D35BD" w:rsidRDefault="009E6E96" w:rsidP="009E6E96">
    <w:pPr>
      <w:pStyle w:val="Encabezado"/>
      <w:rPr>
        <w:b/>
        <w:bCs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2D25" w14:textId="77777777" w:rsidR="009C4BFB" w:rsidRDefault="009C4B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E81208"/>
    <w:multiLevelType w:val="multilevel"/>
    <w:tmpl w:val="8040B032"/>
    <w:lvl w:ilvl="0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207D163E"/>
    <w:multiLevelType w:val="hybridMultilevel"/>
    <w:tmpl w:val="0DC20774"/>
    <w:lvl w:ilvl="0" w:tplc="291090A4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24B03414"/>
    <w:multiLevelType w:val="hybridMultilevel"/>
    <w:tmpl w:val="4AE49F96"/>
    <w:lvl w:ilvl="0" w:tplc="754EB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4A0D"/>
    <w:multiLevelType w:val="multilevel"/>
    <w:tmpl w:val="060A067A"/>
    <w:lvl w:ilvl="0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3715709C"/>
    <w:multiLevelType w:val="hybridMultilevel"/>
    <w:tmpl w:val="BE1CC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27915"/>
    <w:multiLevelType w:val="hybridMultilevel"/>
    <w:tmpl w:val="CCFC8522"/>
    <w:lvl w:ilvl="0" w:tplc="51C2055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021CD"/>
    <w:multiLevelType w:val="hybridMultilevel"/>
    <w:tmpl w:val="707002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26268"/>
    <w:multiLevelType w:val="hybridMultilevel"/>
    <w:tmpl w:val="060A067A"/>
    <w:lvl w:ilvl="0" w:tplc="DE96BE8A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0" w15:restartNumberingAfterBreak="0">
    <w:nsid w:val="738B76ED"/>
    <w:multiLevelType w:val="hybridMultilevel"/>
    <w:tmpl w:val="62B8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A556B"/>
    <w:multiLevelType w:val="hybridMultilevel"/>
    <w:tmpl w:val="8040B032"/>
    <w:lvl w:ilvl="0" w:tplc="8CAAB632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6D"/>
    <w:rsid w:val="00011E53"/>
    <w:rsid w:val="00013E9F"/>
    <w:rsid w:val="0003661C"/>
    <w:rsid w:val="00055473"/>
    <w:rsid w:val="0005589A"/>
    <w:rsid w:val="00056883"/>
    <w:rsid w:val="0006620B"/>
    <w:rsid w:val="00067D1C"/>
    <w:rsid w:val="00073906"/>
    <w:rsid w:val="00092FAB"/>
    <w:rsid w:val="000A09EB"/>
    <w:rsid w:val="000B5E75"/>
    <w:rsid w:val="000C5FFD"/>
    <w:rsid w:val="000E0AAF"/>
    <w:rsid w:val="000E1C39"/>
    <w:rsid w:val="000E4582"/>
    <w:rsid w:val="000F2AE8"/>
    <w:rsid w:val="000F4C01"/>
    <w:rsid w:val="000F4E6F"/>
    <w:rsid w:val="000F53E2"/>
    <w:rsid w:val="0010165E"/>
    <w:rsid w:val="00101A79"/>
    <w:rsid w:val="00101D0D"/>
    <w:rsid w:val="00106351"/>
    <w:rsid w:val="00155037"/>
    <w:rsid w:val="00174697"/>
    <w:rsid w:val="00177C34"/>
    <w:rsid w:val="00182470"/>
    <w:rsid w:val="00182AF1"/>
    <w:rsid w:val="0018600A"/>
    <w:rsid w:val="00191CC0"/>
    <w:rsid w:val="001940EA"/>
    <w:rsid w:val="001A4632"/>
    <w:rsid w:val="001A5B22"/>
    <w:rsid w:val="001B7642"/>
    <w:rsid w:val="001C0776"/>
    <w:rsid w:val="001C0E70"/>
    <w:rsid w:val="001D01F0"/>
    <w:rsid w:val="001D35BD"/>
    <w:rsid w:val="001E1AD0"/>
    <w:rsid w:val="001E3FDB"/>
    <w:rsid w:val="001F103E"/>
    <w:rsid w:val="00201E66"/>
    <w:rsid w:val="002032AF"/>
    <w:rsid w:val="0022396A"/>
    <w:rsid w:val="00223AB0"/>
    <w:rsid w:val="00226402"/>
    <w:rsid w:val="002377FE"/>
    <w:rsid w:val="0025065B"/>
    <w:rsid w:val="0025186C"/>
    <w:rsid w:val="00252DE7"/>
    <w:rsid w:val="00255E2F"/>
    <w:rsid w:val="002636DE"/>
    <w:rsid w:val="0027036D"/>
    <w:rsid w:val="002843C6"/>
    <w:rsid w:val="00292EC3"/>
    <w:rsid w:val="002A4A2D"/>
    <w:rsid w:val="002A771C"/>
    <w:rsid w:val="002A7FFC"/>
    <w:rsid w:val="002B2C3E"/>
    <w:rsid w:val="002B318B"/>
    <w:rsid w:val="002B61B7"/>
    <w:rsid w:val="002C07B9"/>
    <w:rsid w:val="002C255A"/>
    <w:rsid w:val="002C6EB0"/>
    <w:rsid w:val="002D0F9B"/>
    <w:rsid w:val="002D1D4C"/>
    <w:rsid w:val="002D299A"/>
    <w:rsid w:val="002F641D"/>
    <w:rsid w:val="003063D9"/>
    <w:rsid w:val="00311EDE"/>
    <w:rsid w:val="00317CB9"/>
    <w:rsid w:val="00326BD4"/>
    <w:rsid w:val="00332BD1"/>
    <w:rsid w:val="00355216"/>
    <w:rsid w:val="00363CF6"/>
    <w:rsid w:val="00382D8B"/>
    <w:rsid w:val="00384B8B"/>
    <w:rsid w:val="0039474D"/>
    <w:rsid w:val="003A1A22"/>
    <w:rsid w:val="003B23FD"/>
    <w:rsid w:val="003C6A1F"/>
    <w:rsid w:val="003C6E77"/>
    <w:rsid w:val="003D26B9"/>
    <w:rsid w:val="003D716B"/>
    <w:rsid w:val="003E6A1F"/>
    <w:rsid w:val="004031FB"/>
    <w:rsid w:val="004032D4"/>
    <w:rsid w:val="004067A3"/>
    <w:rsid w:val="00411F86"/>
    <w:rsid w:val="004150DA"/>
    <w:rsid w:val="0042778D"/>
    <w:rsid w:val="004367EC"/>
    <w:rsid w:val="004408E9"/>
    <w:rsid w:val="00441AAD"/>
    <w:rsid w:val="00444F5E"/>
    <w:rsid w:val="004460BF"/>
    <w:rsid w:val="00451B28"/>
    <w:rsid w:val="00476184"/>
    <w:rsid w:val="00487776"/>
    <w:rsid w:val="00490980"/>
    <w:rsid w:val="00491130"/>
    <w:rsid w:val="004C319F"/>
    <w:rsid w:val="004C3431"/>
    <w:rsid w:val="004E522C"/>
    <w:rsid w:val="005163D7"/>
    <w:rsid w:val="0053487C"/>
    <w:rsid w:val="005608BB"/>
    <w:rsid w:val="00564A88"/>
    <w:rsid w:val="0058419E"/>
    <w:rsid w:val="0059169E"/>
    <w:rsid w:val="0059224F"/>
    <w:rsid w:val="005A7245"/>
    <w:rsid w:val="005B17D3"/>
    <w:rsid w:val="005B2EA5"/>
    <w:rsid w:val="005B64A7"/>
    <w:rsid w:val="005D2DDE"/>
    <w:rsid w:val="005D51F0"/>
    <w:rsid w:val="005E06AD"/>
    <w:rsid w:val="005E0B0A"/>
    <w:rsid w:val="005E2267"/>
    <w:rsid w:val="005F5C0F"/>
    <w:rsid w:val="005F6351"/>
    <w:rsid w:val="006041CF"/>
    <w:rsid w:val="006105F7"/>
    <w:rsid w:val="006163B0"/>
    <w:rsid w:val="00625FF3"/>
    <w:rsid w:val="00632107"/>
    <w:rsid w:val="0063446A"/>
    <w:rsid w:val="00662127"/>
    <w:rsid w:val="00662A94"/>
    <w:rsid w:val="00694904"/>
    <w:rsid w:val="006A1685"/>
    <w:rsid w:val="006B1877"/>
    <w:rsid w:val="006C4364"/>
    <w:rsid w:val="006E71DF"/>
    <w:rsid w:val="006E7EBF"/>
    <w:rsid w:val="006F66EE"/>
    <w:rsid w:val="00701930"/>
    <w:rsid w:val="00701AB1"/>
    <w:rsid w:val="0071205F"/>
    <w:rsid w:val="007237C0"/>
    <w:rsid w:val="0073248A"/>
    <w:rsid w:val="00747CD1"/>
    <w:rsid w:val="0076302F"/>
    <w:rsid w:val="00765582"/>
    <w:rsid w:val="00780912"/>
    <w:rsid w:val="007B14B4"/>
    <w:rsid w:val="007B62C7"/>
    <w:rsid w:val="007C1359"/>
    <w:rsid w:val="007C1506"/>
    <w:rsid w:val="007D540F"/>
    <w:rsid w:val="007E1D03"/>
    <w:rsid w:val="007E4590"/>
    <w:rsid w:val="007F62F3"/>
    <w:rsid w:val="007F6433"/>
    <w:rsid w:val="00802840"/>
    <w:rsid w:val="00807F2B"/>
    <w:rsid w:val="00821D43"/>
    <w:rsid w:val="00822573"/>
    <w:rsid w:val="00851490"/>
    <w:rsid w:val="00851A09"/>
    <w:rsid w:val="008747BD"/>
    <w:rsid w:val="008771C2"/>
    <w:rsid w:val="0088573C"/>
    <w:rsid w:val="008910DB"/>
    <w:rsid w:val="008A0A62"/>
    <w:rsid w:val="008A678C"/>
    <w:rsid w:val="008A7826"/>
    <w:rsid w:val="008A7BDE"/>
    <w:rsid w:val="008B40D1"/>
    <w:rsid w:val="008D1669"/>
    <w:rsid w:val="008D29CF"/>
    <w:rsid w:val="008E2402"/>
    <w:rsid w:val="008E652E"/>
    <w:rsid w:val="008F1858"/>
    <w:rsid w:val="00901FAC"/>
    <w:rsid w:val="0090547E"/>
    <w:rsid w:val="00913D37"/>
    <w:rsid w:val="009222D3"/>
    <w:rsid w:val="00932DB9"/>
    <w:rsid w:val="0094054D"/>
    <w:rsid w:val="009478E1"/>
    <w:rsid w:val="00951126"/>
    <w:rsid w:val="009600F2"/>
    <w:rsid w:val="00965988"/>
    <w:rsid w:val="00967F51"/>
    <w:rsid w:val="009734B8"/>
    <w:rsid w:val="00973783"/>
    <w:rsid w:val="00974910"/>
    <w:rsid w:val="00986F10"/>
    <w:rsid w:val="0099226D"/>
    <w:rsid w:val="00994A2A"/>
    <w:rsid w:val="009C4BFB"/>
    <w:rsid w:val="009C7E9F"/>
    <w:rsid w:val="009E0E0D"/>
    <w:rsid w:val="009E6E96"/>
    <w:rsid w:val="009E7F8D"/>
    <w:rsid w:val="009F29C0"/>
    <w:rsid w:val="00A03B30"/>
    <w:rsid w:val="00A0773A"/>
    <w:rsid w:val="00A11A39"/>
    <w:rsid w:val="00A14D6B"/>
    <w:rsid w:val="00A617C3"/>
    <w:rsid w:val="00A856ED"/>
    <w:rsid w:val="00AA77EB"/>
    <w:rsid w:val="00AC0B5A"/>
    <w:rsid w:val="00AC66F0"/>
    <w:rsid w:val="00AC728F"/>
    <w:rsid w:val="00AD300C"/>
    <w:rsid w:val="00AD4F7D"/>
    <w:rsid w:val="00AE0F26"/>
    <w:rsid w:val="00AE260A"/>
    <w:rsid w:val="00AF1C7A"/>
    <w:rsid w:val="00AF3264"/>
    <w:rsid w:val="00B10B08"/>
    <w:rsid w:val="00B15388"/>
    <w:rsid w:val="00B3093E"/>
    <w:rsid w:val="00B327C1"/>
    <w:rsid w:val="00B40DFF"/>
    <w:rsid w:val="00B45A5E"/>
    <w:rsid w:val="00B46F86"/>
    <w:rsid w:val="00B514FF"/>
    <w:rsid w:val="00B55DA7"/>
    <w:rsid w:val="00B56ABF"/>
    <w:rsid w:val="00B67AD7"/>
    <w:rsid w:val="00B74004"/>
    <w:rsid w:val="00B76EBE"/>
    <w:rsid w:val="00B8143F"/>
    <w:rsid w:val="00B867AD"/>
    <w:rsid w:val="00B96905"/>
    <w:rsid w:val="00BA6C97"/>
    <w:rsid w:val="00BC0856"/>
    <w:rsid w:val="00BD6AC3"/>
    <w:rsid w:val="00BE34A6"/>
    <w:rsid w:val="00BF4AD8"/>
    <w:rsid w:val="00C04E0C"/>
    <w:rsid w:val="00C13E9B"/>
    <w:rsid w:val="00C16F4A"/>
    <w:rsid w:val="00C26344"/>
    <w:rsid w:val="00C26590"/>
    <w:rsid w:val="00C4509D"/>
    <w:rsid w:val="00C52A05"/>
    <w:rsid w:val="00C662A4"/>
    <w:rsid w:val="00C7341F"/>
    <w:rsid w:val="00C75606"/>
    <w:rsid w:val="00C84005"/>
    <w:rsid w:val="00C91EB5"/>
    <w:rsid w:val="00C9527F"/>
    <w:rsid w:val="00C952F7"/>
    <w:rsid w:val="00CB41F2"/>
    <w:rsid w:val="00CD3CD1"/>
    <w:rsid w:val="00CE3CD5"/>
    <w:rsid w:val="00CF6968"/>
    <w:rsid w:val="00D17109"/>
    <w:rsid w:val="00D33965"/>
    <w:rsid w:val="00D3646C"/>
    <w:rsid w:val="00D470DB"/>
    <w:rsid w:val="00D70AAD"/>
    <w:rsid w:val="00D90092"/>
    <w:rsid w:val="00DA1966"/>
    <w:rsid w:val="00DA214D"/>
    <w:rsid w:val="00DA70FF"/>
    <w:rsid w:val="00DC1085"/>
    <w:rsid w:val="00DC5D71"/>
    <w:rsid w:val="00DD3174"/>
    <w:rsid w:val="00DF14AC"/>
    <w:rsid w:val="00E00191"/>
    <w:rsid w:val="00E07F9C"/>
    <w:rsid w:val="00E16A21"/>
    <w:rsid w:val="00E36555"/>
    <w:rsid w:val="00E42628"/>
    <w:rsid w:val="00E43CA2"/>
    <w:rsid w:val="00E50586"/>
    <w:rsid w:val="00E53BA0"/>
    <w:rsid w:val="00E56B95"/>
    <w:rsid w:val="00E607C3"/>
    <w:rsid w:val="00E679D1"/>
    <w:rsid w:val="00E837F6"/>
    <w:rsid w:val="00E86B9A"/>
    <w:rsid w:val="00E86D9E"/>
    <w:rsid w:val="00EA7D65"/>
    <w:rsid w:val="00EB7FDA"/>
    <w:rsid w:val="00EC64AB"/>
    <w:rsid w:val="00EC684E"/>
    <w:rsid w:val="00EE124D"/>
    <w:rsid w:val="00EE64C6"/>
    <w:rsid w:val="00EF25EE"/>
    <w:rsid w:val="00F15479"/>
    <w:rsid w:val="00F34CC6"/>
    <w:rsid w:val="00F45421"/>
    <w:rsid w:val="00F5517C"/>
    <w:rsid w:val="00F704E5"/>
    <w:rsid w:val="00F81E97"/>
    <w:rsid w:val="00F84F5A"/>
    <w:rsid w:val="00FA329F"/>
    <w:rsid w:val="00FA4799"/>
    <w:rsid w:val="00FB0A62"/>
    <w:rsid w:val="00FC2233"/>
    <w:rsid w:val="00FD4294"/>
    <w:rsid w:val="00FD7A75"/>
    <w:rsid w:val="00FE45BF"/>
    <w:rsid w:val="00FE5A3B"/>
    <w:rsid w:val="00FF0C2E"/>
    <w:rsid w:val="00FF60C8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95D20"/>
  <w15:docId w15:val="{B76A82F2-E642-874A-850C-C493730A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165E"/>
    <w:rPr>
      <w:sz w:val="24"/>
      <w:szCs w:val="24"/>
    </w:rPr>
  </w:style>
  <w:style w:type="paragraph" w:styleId="Ttulo1">
    <w:name w:val="heading 1"/>
    <w:basedOn w:val="Normal"/>
    <w:next w:val="Normal"/>
    <w:qFormat/>
    <w:rsid w:val="0010165E"/>
    <w:pPr>
      <w:keepNext/>
      <w:outlineLvl w:val="0"/>
    </w:pPr>
    <w:rPr>
      <w:rFonts w:ascii="Verdana" w:hAnsi="Verdana"/>
    </w:rPr>
  </w:style>
  <w:style w:type="paragraph" w:styleId="Ttulo2">
    <w:name w:val="heading 2"/>
    <w:basedOn w:val="Normal"/>
    <w:next w:val="Normal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Ttulo5">
    <w:name w:val="heading 5"/>
    <w:basedOn w:val="Normal"/>
    <w:next w:val="Normal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Ttulo6">
    <w:name w:val="heading 6"/>
    <w:basedOn w:val="Normal"/>
    <w:next w:val="Normal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Ttulo7">
    <w:name w:val="heading 7"/>
    <w:basedOn w:val="Normal"/>
    <w:next w:val="Normal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165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rsid w:val="0010165E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Textoindependiente2">
    <w:name w:val="Body Text 2"/>
    <w:basedOn w:val="Normal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">
    <w:name w:val="ראשונה משפטי"/>
    <w:basedOn w:val="Normal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Sangradetextonormal">
    <w:name w:val="Body Text Indent"/>
    <w:basedOn w:val="Normal"/>
    <w:rsid w:val="0010165E"/>
    <w:pPr>
      <w:bidi/>
      <w:ind w:left="360"/>
    </w:pPr>
    <w:rPr>
      <w:lang w:eastAsia="he-IL"/>
    </w:rPr>
  </w:style>
  <w:style w:type="paragraph" w:styleId="Ttulo">
    <w:name w:val="Title"/>
    <w:basedOn w:val="Normal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Textonotapie">
    <w:name w:val="footnote text"/>
    <w:basedOn w:val="Normal"/>
    <w:semiHidden/>
    <w:rsid w:val="00701930"/>
    <w:pPr>
      <w:bidi/>
    </w:pPr>
    <w:rPr>
      <w:sz w:val="20"/>
      <w:szCs w:val="20"/>
      <w:lang w:eastAsia="he-IL"/>
    </w:rPr>
  </w:style>
  <w:style w:type="character" w:styleId="Refdenotaalpie">
    <w:name w:val="footnote reference"/>
    <w:basedOn w:val="Fuentedeprrafopredeter"/>
    <w:semiHidden/>
    <w:rsid w:val="00701930"/>
    <w:rPr>
      <w:vertAlign w:val="superscript"/>
    </w:rPr>
  </w:style>
  <w:style w:type="paragraph" w:styleId="Textonotaalfinal">
    <w:name w:val="endnote text"/>
    <w:basedOn w:val="Normal"/>
    <w:semiHidden/>
    <w:rsid w:val="009F29C0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9F29C0"/>
    <w:rPr>
      <w:vertAlign w:val="superscript"/>
    </w:rPr>
  </w:style>
  <w:style w:type="paragraph" w:styleId="Fecha">
    <w:name w:val="Date"/>
    <w:basedOn w:val="Normal"/>
    <w:next w:val="Normal"/>
    <w:rsid w:val="0042778D"/>
  </w:style>
  <w:style w:type="table" w:styleId="Tablaconcuadrcula">
    <w:name w:val="Table Grid"/>
    <w:basedOn w:val="Tablanormal"/>
    <w:rsid w:val="0026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B327C1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9E6E96"/>
    <w:rPr>
      <w:sz w:val="24"/>
      <w:szCs w:val="24"/>
    </w:rPr>
  </w:style>
  <w:style w:type="paragraph" w:styleId="Textodeglobo">
    <w:name w:val="Balloon Text"/>
    <w:basedOn w:val="Normal"/>
    <w:link w:val="TextodegloboCar"/>
    <w:rsid w:val="00E67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79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2C3E"/>
    <w:pPr>
      <w:ind w:left="720"/>
    </w:pPr>
    <w:rPr>
      <w:rFonts w:ascii="Calibri" w:eastAsiaTheme="minorHAnsi" w:hAnsi="Calibri" w:cs="Calibri"/>
      <w:sz w:val="22"/>
      <w:szCs w:val="22"/>
      <w:lang w:val="es-ES" w:bidi="ar-SA"/>
    </w:rPr>
  </w:style>
  <w:style w:type="paragraph" w:styleId="Revisin">
    <w:name w:val="Revision"/>
    <w:hidden/>
    <w:uiPriority w:val="99"/>
    <w:semiHidden/>
    <w:rsid w:val="008E2402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67F51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2843C6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284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l-sf.com/es-es/products/ornamental_horticulture/0301-h2gr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cl-sf.com/es-es/products/ornamental_horticulture/ready-germiplus-horticultur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l-sf.com/es-es/products/ornamental_horticulture/osmocote-calma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25 מרץ 2003</vt:lpstr>
      <vt:lpstr>25 מרץ 2003</vt:lpstr>
    </vt:vector>
  </TitlesOfParts>
  <Company>ICL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מרץ 2003</dc:title>
  <dc:creator>ICL</dc:creator>
  <cp:lastModifiedBy>Vicente De Santiago</cp:lastModifiedBy>
  <cp:revision>3</cp:revision>
  <cp:lastPrinted>2018-09-10T09:24:00Z</cp:lastPrinted>
  <dcterms:created xsi:type="dcterms:W3CDTF">2018-09-10T08:26:00Z</dcterms:created>
  <dcterms:modified xsi:type="dcterms:W3CDTF">2018-09-10T09:24:00Z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